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7F" w:rsidRDefault="00F92973">
      <w:pPr>
        <w:pageBreakBefore/>
        <w:spacing w:line="500" w:lineRule="exac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附件1： 《2021制药企业首席质量官（CQO）高级研修班》课程安排表</w:t>
      </w:r>
    </w:p>
    <w:tbl>
      <w:tblPr>
        <w:tblStyle w:val="-1"/>
        <w:tblpPr w:leftFromText="180" w:rightFromText="180" w:vertAnchor="text" w:horzAnchor="margin" w:tblpXSpec="center" w:tblpY="305"/>
        <w:tblW w:w="9432" w:type="dxa"/>
        <w:tblLayout w:type="fixed"/>
        <w:tblLook w:val="04A0" w:firstRow="1" w:lastRow="0" w:firstColumn="1" w:lastColumn="0" w:noHBand="0" w:noVBand="1"/>
      </w:tblPr>
      <w:tblGrid>
        <w:gridCol w:w="2845"/>
        <w:gridCol w:w="6587"/>
      </w:tblGrid>
      <w:tr w:rsidR="002E4B7F" w:rsidTr="002E4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8" w:space="0" w:color="4F81BD" w:themeColor="accent1"/>
            </w:tcBorders>
          </w:tcPr>
          <w:p w:rsidR="002E4B7F" w:rsidRDefault="00F92973">
            <w:pPr>
              <w:spacing w:line="400" w:lineRule="exact"/>
              <w:ind w:firstLineChars="49" w:firstLine="118"/>
              <w:jc w:val="center"/>
              <w:rPr>
                <w:rFonts w:ascii="仿宋" w:eastAsia="仿宋" w:hAnsi="仿宋" w:cs="仿宋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课程模块</w:t>
            </w:r>
          </w:p>
        </w:tc>
        <w:tc>
          <w:tcPr>
            <w:tcW w:w="6587" w:type="dxa"/>
          </w:tcPr>
          <w:p w:rsidR="002E4B7F" w:rsidRDefault="00F92973">
            <w:pPr>
              <w:spacing w:line="400" w:lineRule="exact"/>
              <w:ind w:firstLineChars="49" w:firstLine="1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主要内容</w:t>
            </w:r>
          </w:p>
        </w:tc>
      </w:tr>
      <w:tr w:rsidR="002E4B7F" w:rsidTr="002E4B7F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F9297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新药品法规监管体系的挑战及机遇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已上市化学药品和生物制品临床变更指导原则解读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已上市化学药品药学变更研究技术指导原则解读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 新法规下企业的变更管理</w:t>
            </w:r>
          </w:p>
        </w:tc>
      </w:tr>
      <w:tr w:rsidR="002E4B7F" w:rsidTr="002E4B7F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2E4B7F">
            <w:pPr>
              <w:spacing w:line="400" w:lineRule="exact"/>
              <w:ind w:leftChars="50" w:left="105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F92973">
            <w:pPr>
              <w:spacing w:line="400" w:lineRule="exact"/>
              <w:ind w:leftChars="50" w:left="105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GMP质量体系的国际视角解析与前瞻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质量文化与质量体系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质量体系的成熟度评估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 质量体系的智能化与高效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 质量体系的安全</w:t>
            </w:r>
          </w:p>
        </w:tc>
      </w:tr>
      <w:tr w:rsidR="002E4B7F" w:rsidTr="002E4B7F">
        <w:trPr>
          <w:trHeight w:val="2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2E4B7F">
            <w:pPr>
              <w:spacing w:line="400" w:lineRule="exact"/>
              <w:ind w:leftChars="50" w:left="105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2E4B7F">
            <w:pPr>
              <w:spacing w:line="400" w:lineRule="exact"/>
              <w:ind w:leftChars="50" w:left="105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F92973">
            <w:pPr>
              <w:spacing w:line="400" w:lineRule="exact"/>
              <w:ind w:leftChars="50" w:left="105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国际（FDA、欧盟）及国内审计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FDA及欧盟近期审计趋势及分析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国外审计应对技巧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 远程审计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 CAPA 回复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 研发现场的审计准备（生物及无菌制剂篇）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 第三方审计（委托生产及研发现场）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 第三方审计（委托检验研究）</w:t>
            </w:r>
          </w:p>
        </w:tc>
      </w:tr>
      <w:tr w:rsidR="002E4B7F" w:rsidTr="002E4B7F">
        <w:trPr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2E4B7F">
            <w:pPr>
              <w:spacing w:line="400" w:lineRule="exact"/>
              <w:ind w:leftChars="50" w:left="105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F9297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杂质控制策略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杂质控制策略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ICH Q3D之金属元素杂质控制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 ICH M7基因毒性杂质的控制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 案例解析</w:t>
            </w:r>
          </w:p>
        </w:tc>
      </w:tr>
      <w:tr w:rsidR="002E4B7F" w:rsidTr="002E4B7F">
        <w:trPr>
          <w:trHeight w:val="2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2E4B7F">
            <w:pPr>
              <w:spacing w:line="400" w:lineRule="exact"/>
              <w:ind w:leftChars="50" w:left="105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2E4B7F">
            <w:pPr>
              <w:spacing w:line="400" w:lineRule="exact"/>
              <w:ind w:leftChars="50" w:left="105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2E4B7F">
            <w:pPr>
              <w:spacing w:line="400" w:lineRule="exact"/>
              <w:ind w:leftChars="50" w:left="105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F92973">
            <w:pPr>
              <w:spacing w:line="400" w:lineRule="exact"/>
              <w:ind w:leftChars="50"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前瞻性质量风险管理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质量风险管理的概述及生命周期管理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质量风险管理的主计划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质量风险管理主计划的关键要素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2. 风险管理与质量体系 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 典型案例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前瞻性风险评估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混淆，防止交叉污染的风险评估</w:t>
            </w:r>
          </w:p>
        </w:tc>
      </w:tr>
      <w:tr w:rsidR="002E4B7F" w:rsidTr="002E4B7F">
        <w:trPr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2E4B7F">
            <w:pPr>
              <w:spacing w:line="400" w:lineRule="exact"/>
              <w:ind w:left="5" w:firstLineChars="41" w:firstLine="98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2E4B7F">
            <w:pPr>
              <w:spacing w:line="400" w:lineRule="exact"/>
              <w:ind w:left="5" w:firstLineChars="41" w:firstLine="98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  <w:p w:rsidR="002E4B7F" w:rsidRDefault="00F92973">
            <w:pPr>
              <w:spacing w:line="400" w:lineRule="exact"/>
              <w:ind w:left="5" w:firstLineChars="41" w:firstLine="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实验室（QC）体系</w:t>
            </w:r>
          </w:p>
        </w:tc>
        <w:tc>
          <w:tcPr>
            <w:tcW w:w="658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 实验室合规体系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实验室审计追踪的管理</w:t>
            </w:r>
          </w:p>
          <w:p w:rsidR="002E4B7F" w:rsidRDefault="00F92973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实验室inspection tool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实验室的OOS 偏差及异常事件体系设计</w:t>
            </w:r>
          </w:p>
          <w:p w:rsidR="002E4B7F" w:rsidRDefault="00F92973">
            <w:pPr>
              <w:pStyle w:val="a8"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3F3F3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 实验室的物料管理体系</w:t>
            </w:r>
          </w:p>
        </w:tc>
      </w:tr>
    </w:tbl>
    <w:p w:rsidR="002E4B7F" w:rsidRDefault="00F92973">
      <w:pPr>
        <w:pageBreakBefore/>
        <w:spacing w:beforeLines="50" w:before="156" w:line="38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附件2： 《2021制药企业首席质量官（CQO）高级研修班》报名回执表</w:t>
      </w:r>
    </w:p>
    <w:tbl>
      <w:tblPr>
        <w:tblpPr w:leftFromText="180" w:rightFromText="180" w:vertAnchor="text" w:horzAnchor="margin" w:tblpX="-39" w:tblpY="353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200"/>
        <w:gridCol w:w="1605"/>
        <w:gridCol w:w="1610"/>
        <w:gridCol w:w="235"/>
        <w:gridCol w:w="1141"/>
        <w:gridCol w:w="1694"/>
      </w:tblGrid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发票抬头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税    号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QQ/邮箱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地址电话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开户行、账号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开票类型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开票项目：培训费</w:t>
            </w:r>
          </w:p>
          <w:p w:rsidR="002E4B7F" w:rsidRDefault="00F92973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增值税普通发票 [   ]        增值税专用发票 [   ]</w:t>
            </w:r>
          </w:p>
        </w:tc>
      </w:tr>
      <w:tr w:rsidR="002E4B7F">
        <w:trPr>
          <w:trHeight w:val="56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参会代表名单</w:t>
            </w: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姓名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移动电话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2E4B7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4B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住宿安排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标准间[   ]        单人间[   ]        否[   ]</w:t>
            </w:r>
          </w:p>
          <w:p w:rsidR="002E4B7F" w:rsidRDefault="00F92973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入住时间：    月    日至    月    日，共     间</w:t>
            </w:r>
          </w:p>
        </w:tc>
      </w:tr>
      <w:tr w:rsidR="002E4B7F">
        <w:trPr>
          <w:trHeight w:val="158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组委会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560" w:lineRule="exact"/>
              <w:rPr>
                <w:rFonts w:ascii="仿宋" w:eastAsia="仿宋" w:hAnsi="仿宋" w:cs="仿宋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>联系人：李艳 13331133930  陈勇 18911883129</w:t>
            </w:r>
          </w:p>
          <w:p w:rsidR="002E4B7F" w:rsidRDefault="00F92973">
            <w:pPr>
              <w:spacing w:line="560" w:lineRule="exact"/>
              <w:rPr>
                <w:rStyle w:val="a7"/>
                <w:rFonts w:ascii="仿宋" w:eastAsia="仿宋" w:hAnsi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kern w:val="0"/>
                <w:sz w:val="28"/>
                <w:szCs w:val="28"/>
              </w:rPr>
              <w:t>电子邮箱：</w:t>
            </w:r>
            <w:hyperlink r:id="rId9" w:history="1">
              <w:r>
                <w:rPr>
                  <w:rStyle w:val="a7"/>
                  <w:rFonts w:ascii="仿宋" w:eastAsia="仿宋" w:hAnsi="仿宋" w:cs="仿宋" w:hint="eastAsia"/>
                  <w:color w:val="auto"/>
                  <w:sz w:val="28"/>
                  <w:szCs w:val="28"/>
                  <w:u w:val="none"/>
                </w:rPr>
                <w:t>chenyong0602@126.com</w:t>
              </w:r>
            </w:hyperlink>
          </w:p>
          <w:p w:rsidR="002E4B7F" w:rsidRDefault="00F92973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 xml:space="preserve">中国药科大学联系人：董老师025-83271121  </w:t>
            </w:r>
          </w:p>
        </w:tc>
      </w:tr>
      <w:tr w:rsidR="002E4B7F">
        <w:trPr>
          <w:trHeight w:val="209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汇款信息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F" w:rsidRDefault="00F92973">
            <w:pPr>
              <w:pStyle w:val="Default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hAnsi="仿宋" w:hint="eastAsia"/>
                <w:bCs/>
                <w:color w:val="000000" w:themeColor="text1"/>
                <w:spacing w:val="4"/>
                <w:sz w:val="28"/>
                <w:szCs w:val="28"/>
              </w:rPr>
              <w:t xml:space="preserve">收款单位：中国药科大学      </w:t>
            </w:r>
          </w:p>
          <w:p w:rsidR="002E4B7F" w:rsidRDefault="00F92973">
            <w:pPr>
              <w:pStyle w:val="Default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hAnsi="仿宋" w:hint="eastAsia"/>
                <w:bCs/>
                <w:color w:val="000000" w:themeColor="text1"/>
                <w:spacing w:val="4"/>
                <w:sz w:val="28"/>
                <w:szCs w:val="28"/>
              </w:rPr>
              <w:t>开户银行：南京工行湖南路支行</w:t>
            </w:r>
          </w:p>
          <w:p w:rsidR="002E4B7F" w:rsidRDefault="00F92973">
            <w:pPr>
              <w:spacing w:line="560" w:lineRule="exact"/>
              <w:rPr>
                <w:rFonts w:ascii="仿宋" w:eastAsia="仿宋" w:hAnsi="仿宋" w:cs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银行账号：4301011019001029831</w:t>
            </w:r>
          </w:p>
          <w:p w:rsidR="002E4B7F" w:rsidRDefault="00F92973">
            <w:pPr>
              <w:spacing w:line="560" w:lineRule="exact"/>
              <w:rPr>
                <w:rFonts w:ascii="仿宋" w:eastAsia="仿宋" w:hAnsi="仿宋" w:cs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转账备注：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kern w:val="0"/>
                <w:sz w:val="28"/>
                <w:szCs w:val="28"/>
              </w:rPr>
              <w:t>CQO管理研修班</w:t>
            </w:r>
          </w:p>
        </w:tc>
      </w:tr>
    </w:tbl>
    <w:p w:rsidR="002E4B7F" w:rsidRDefault="002E4B7F"/>
    <w:sectPr w:rsidR="002E4B7F">
      <w:headerReference w:type="default" r:id="rId10"/>
      <w:pgSz w:w="11906" w:h="16838"/>
      <w:pgMar w:top="1440" w:right="1390" w:bottom="1440" w:left="149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B5" w:rsidRDefault="00741BB5">
      <w:r>
        <w:separator/>
      </w:r>
    </w:p>
  </w:endnote>
  <w:endnote w:type="continuationSeparator" w:id="0">
    <w:p w:rsidR="00741BB5" w:rsidRDefault="0074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B5" w:rsidRDefault="00741BB5">
      <w:r>
        <w:separator/>
      </w:r>
    </w:p>
  </w:footnote>
  <w:footnote w:type="continuationSeparator" w:id="0">
    <w:p w:rsidR="00741BB5" w:rsidRDefault="0074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7F" w:rsidRDefault="002E4B7F">
    <w:pPr>
      <w:pStyle w:val="a5"/>
      <w:pBdr>
        <w:bottom w:val="none" w:sz="0" w:space="0" w:color="auto"/>
      </w:pBdr>
      <w:jc w:val="both"/>
    </w:pPr>
  </w:p>
  <w:p w:rsidR="002E4B7F" w:rsidRDefault="002E4B7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47CAAE"/>
    <w:multiLevelType w:val="singleLevel"/>
    <w:tmpl w:val="8347CAA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3047C30D"/>
    <w:multiLevelType w:val="singleLevel"/>
    <w:tmpl w:val="3047C30D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2E4B7F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1BEE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42B2"/>
    <w:rsid w:val="00712FD1"/>
    <w:rsid w:val="00721093"/>
    <w:rsid w:val="00741BB5"/>
    <w:rsid w:val="0075170D"/>
    <w:rsid w:val="00757C80"/>
    <w:rsid w:val="00770838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2068B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A5DC7"/>
    <w:rsid w:val="00DA6E98"/>
    <w:rsid w:val="00DB5C1E"/>
    <w:rsid w:val="00DD6009"/>
    <w:rsid w:val="00DD7BD9"/>
    <w:rsid w:val="00DE4EC9"/>
    <w:rsid w:val="00DF7303"/>
    <w:rsid w:val="00E17C6D"/>
    <w:rsid w:val="00E55B1F"/>
    <w:rsid w:val="00E8444E"/>
    <w:rsid w:val="00E9069A"/>
    <w:rsid w:val="00F05D3E"/>
    <w:rsid w:val="00F31F66"/>
    <w:rsid w:val="00F410F6"/>
    <w:rsid w:val="00F60873"/>
    <w:rsid w:val="00F62A2F"/>
    <w:rsid w:val="00F712C1"/>
    <w:rsid w:val="00F92973"/>
    <w:rsid w:val="00FA73BC"/>
    <w:rsid w:val="00FD78D5"/>
    <w:rsid w:val="00FE5899"/>
    <w:rsid w:val="02001F04"/>
    <w:rsid w:val="02194795"/>
    <w:rsid w:val="03A37920"/>
    <w:rsid w:val="08DB4788"/>
    <w:rsid w:val="0AEB20FB"/>
    <w:rsid w:val="0D211941"/>
    <w:rsid w:val="10932D29"/>
    <w:rsid w:val="1431576E"/>
    <w:rsid w:val="14BC34DE"/>
    <w:rsid w:val="16D3137E"/>
    <w:rsid w:val="18B55931"/>
    <w:rsid w:val="1BD139ED"/>
    <w:rsid w:val="1C777D35"/>
    <w:rsid w:val="1E922094"/>
    <w:rsid w:val="1F790F70"/>
    <w:rsid w:val="23CB7966"/>
    <w:rsid w:val="24B66837"/>
    <w:rsid w:val="2BAD75FF"/>
    <w:rsid w:val="2C964332"/>
    <w:rsid w:val="31A60653"/>
    <w:rsid w:val="31BB0094"/>
    <w:rsid w:val="3CB603C6"/>
    <w:rsid w:val="3D1B7B06"/>
    <w:rsid w:val="3D516A0D"/>
    <w:rsid w:val="3FF06C9A"/>
    <w:rsid w:val="3FF16E35"/>
    <w:rsid w:val="428F34B5"/>
    <w:rsid w:val="43285B31"/>
    <w:rsid w:val="43520E2A"/>
    <w:rsid w:val="47810A5A"/>
    <w:rsid w:val="48540B4E"/>
    <w:rsid w:val="490E64BE"/>
    <w:rsid w:val="493F0061"/>
    <w:rsid w:val="4CC379DA"/>
    <w:rsid w:val="4DAF2C3A"/>
    <w:rsid w:val="4F43555E"/>
    <w:rsid w:val="4FEF2508"/>
    <w:rsid w:val="53F876FC"/>
    <w:rsid w:val="5412104D"/>
    <w:rsid w:val="552B48F9"/>
    <w:rsid w:val="56073969"/>
    <w:rsid w:val="574E768F"/>
    <w:rsid w:val="575233A7"/>
    <w:rsid w:val="578422CF"/>
    <w:rsid w:val="57A53DB8"/>
    <w:rsid w:val="59D37EF5"/>
    <w:rsid w:val="5DC6175E"/>
    <w:rsid w:val="63BA3E13"/>
    <w:rsid w:val="66401AEA"/>
    <w:rsid w:val="66657EEE"/>
    <w:rsid w:val="6A8071FF"/>
    <w:rsid w:val="6D9D2391"/>
    <w:rsid w:val="6DD47628"/>
    <w:rsid w:val="71E962F5"/>
    <w:rsid w:val="74C24D45"/>
    <w:rsid w:val="76667868"/>
    <w:rsid w:val="768C0392"/>
    <w:rsid w:val="77EA28C4"/>
    <w:rsid w:val="78160AC2"/>
    <w:rsid w:val="79190CC4"/>
    <w:rsid w:val="7BC17757"/>
    <w:rsid w:val="7C173F19"/>
    <w:rsid w:val="7EB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5AA01-C626-413D-8004-09F8E56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">
    <w:name w:val="Light Grid Accent 6"/>
    <w:basedOn w:val="a1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-5">
    <w:name w:val="Medium Shading 1 Accent 5"/>
    <w:basedOn w:val="a1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nptp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CA92A-523E-4F6A-8A91-D980C05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liucui</cp:lastModifiedBy>
  <cp:revision>4</cp:revision>
  <cp:lastPrinted>2021-09-02T02:35:00Z</cp:lastPrinted>
  <dcterms:created xsi:type="dcterms:W3CDTF">2021-09-18T01:28:00Z</dcterms:created>
  <dcterms:modified xsi:type="dcterms:W3CDTF">2021-09-18T01:31:00Z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10A45C351A9946288086413F0ABFB96F</vt:lpwstr>
  </property>
</Properties>
</file>