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749FF">
      <w:pPr>
        <w:spacing w:line="360" w:lineRule="auto"/>
        <w:rPr>
          <w:rStyle w:val="10"/>
          <w:rFonts w:hint="eastAsia" w:ascii="仿宋" w:hAnsi="仿宋" w:eastAsia="仿宋" w:cs="仿宋"/>
          <w:b/>
          <w:bCs/>
          <w:color w:val="auto"/>
          <w:sz w:val="24"/>
          <w:szCs w:val="24"/>
          <w:u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24"/>
          <w:szCs w:val="24"/>
        </w:rPr>
        <w:t>附件1：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《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功能食品研发理论与实操高级研修班（第三期）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》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培训</w:t>
      </w:r>
      <w:r>
        <w:rPr>
          <w:rStyle w:val="10"/>
          <w:rFonts w:hint="eastAsia" w:ascii="仿宋" w:hAnsi="仿宋" w:eastAsia="仿宋" w:cs="仿宋"/>
          <w:b/>
          <w:bCs/>
          <w:color w:val="auto"/>
          <w:sz w:val="24"/>
          <w:szCs w:val="24"/>
          <w:u w:val="none"/>
        </w:rPr>
        <w:t>安排表</w:t>
      </w:r>
    </w:p>
    <w:p w14:paraId="1627A749">
      <w:pPr>
        <w:spacing w:line="360" w:lineRule="auto"/>
        <w:rPr>
          <w:rStyle w:val="10"/>
          <w:rFonts w:hint="eastAsia" w:ascii="仿宋" w:hAnsi="仿宋" w:eastAsia="仿宋" w:cs="仿宋"/>
          <w:b/>
          <w:bCs/>
          <w:color w:val="auto"/>
          <w:sz w:val="24"/>
          <w:szCs w:val="24"/>
          <w:u w:val="none"/>
        </w:rPr>
      </w:pPr>
    </w:p>
    <w:tbl>
      <w:tblPr>
        <w:tblStyle w:val="6"/>
        <w:tblW w:w="9013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313"/>
        <w:gridCol w:w="6500"/>
      </w:tblGrid>
      <w:tr w14:paraId="3AE9F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00" w:type="dxa"/>
            <w:noWrap w:val="0"/>
            <w:vAlign w:val="center"/>
          </w:tcPr>
          <w:p w14:paraId="5D9303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313" w:type="dxa"/>
            <w:noWrap w:val="0"/>
            <w:vAlign w:val="center"/>
          </w:tcPr>
          <w:p w14:paraId="2F5B97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课程</w:t>
            </w:r>
          </w:p>
        </w:tc>
        <w:tc>
          <w:tcPr>
            <w:tcW w:w="6500" w:type="dxa"/>
            <w:noWrap w:val="0"/>
            <w:vAlign w:val="center"/>
          </w:tcPr>
          <w:p w14:paraId="43A902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详细课程内容</w:t>
            </w:r>
          </w:p>
        </w:tc>
      </w:tr>
      <w:tr w14:paraId="51D89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00" w:type="dxa"/>
            <w:noWrap w:val="0"/>
            <w:vAlign w:val="center"/>
          </w:tcPr>
          <w:p w14:paraId="69050F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3" w:type="dxa"/>
            <w:gridSpan w:val="2"/>
            <w:noWrap w:val="0"/>
            <w:vAlign w:val="center"/>
          </w:tcPr>
          <w:p w14:paraId="1F3A21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（一）研发理论</w:t>
            </w:r>
          </w:p>
        </w:tc>
      </w:tr>
      <w:tr w14:paraId="34669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1200" w:type="dxa"/>
            <w:noWrap w:val="0"/>
            <w:vAlign w:val="center"/>
          </w:tcPr>
          <w:p w14:paraId="290A92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5月23日</w:t>
            </w:r>
          </w:p>
        </w:tc>
        <w:tc>
          <w:tcPr>
            <w:tcW w:w="1313" w:type="dxa"/>
            <w:noWrap w:val="0"/>
            <w:vAlign w:val="center"/>
          </w:tcPr>
          <w:p w14:paraId="504FBD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功能食品</w:t>
            </w:r>
          </w:p>
          <w:p w14:paraId="14D64C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配方设计</w:t>
            </w:r>
          </w:p>
        </w:tc>
        <w:tc>
          <w:tcPr>
            <w:tcW w:w="6500" w:type="dxa"/>
            <w:noWrap w:val="0"/>
            <w:vAlign w:val="center"/>
          </w:tcPr>
          <w:p w14:paraId="470F4A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1.功能食品产品研发立项论证</w:t>
            </w:r>
          </w:p>
          <w:p w14:paraId="1E5B13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2.功能食品配方设计与创新：</w:t>
            </w:r>
          </w:p>
          <w:p w14:paraId="76362E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新食品原料配方设计</w:t>
            </w:r>
          </w:p>
          <w:p w14:paraId="698905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普通食品原料配方设计</w:t>
            </w:r>
          </w:p>
          <w:p w14:paraId="00CAAE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药食同源配方设计</w:t>
            </w:r>
          </w:p>
          <w:p w14:paraId="1B5352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3.运动营养食品配方设计思路</w:t>
            </w:r>
          </w:p>
        </w:tc>
      </w:tr>
      <w:tr w14:paraId="392F5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1200" w:type="dxa"/>
            <w:noWrap w:val="0"/>
            <w:vAlign w:val="center"/>
          </w:tcPr>
          <w:p w14:paraId="220DEE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5月23日</w:t>
            </w:r>
          </w:p>
        </w:tc>
        <w:tc>
          <w:tcPr>
            <w:tcW w:w="1313" w:type="dxa"/>
            <w:noWrap w:val="0"/>
            <w:vAlign w:val="center"/>
          </w:tcPr>
          <w:p w14:paraId="5EADAC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剂型篇</w:t>
            </w:r>
          </w:p>
        </w:tc>
        <w:tc>
          <w:tcPr>
            <w:tcW w:w="6500" w:type="dxa"/>
            <w:noWrap w:val="0"/>
            <w:vAlign w:val="center"/>
          </w:tcPr>
          <w:p w14:paraId="7B5B4B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1.功能食品总体工艺设计与创新</w:t>
            </w:r>
          </w:p>
          <w:p w14:paraId="078E2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2.功能食品提取制备工艺设计与开发（如何选择合适提取方法与设备）</w:t>
            </w:r>
          </w:p>
          <w:p w14:paraId="77D662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3.常见混料方式及工艺要求（混料的基本工艺、方法、设备、混匀的理论方法）</w:t>
            </w:r>
          </w:p>
          <w:p w14:paraId="6E7BD2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4.功能食品成型工艺设计与开发选择</w:t>
            </w:r>
          </w:p>
          <w:p w14:paraId="57A97F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5.不同剂型产品开发工艺及注意事项</w:t>
            </w:r>
          </w:p>
          <w:p w14:paraId="68C8C5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粉剂产品     片剂产品（含包衣）</w:t>
            </w:r>
          </w:p>
          <w:p w14:paraId="11EAE2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软胶囊产品   硬胶囊产品  </w:t>
            </w:r>
          </w:p>
          <w:p w14:paraId="2F2626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颗粒剂产品   凝胶糖果   口服溶液</w:t>
            </w:r>
          </w:p>
        </w:tc>
      </w:tr>
      <w:tr w14:paraId="29ABA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00" w:type="dxa"/>
            <w:noWrap w:val="0"/>
            <w:vAlign w:val="center"/>
          </w:tcPr>
          <w:p w14:paraId="26D319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5月23日</w:t>
            </w:r>
          </w:p>
        </w:tc>
        <w:tc>
          <w:tcPr>
            <w:tcW w:w="1313" w:type="dxa"/>
            <w:noWrap w:val="0"/>
            <w:vAlign w:val="center"/>
          </w:tcPr>
          <w:p w14:paraId="3DA24A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综合方法篇</w:t>
            </w:r>
          </w:p>
        </w:tc>
        <w:tc>
          <w:tcPr>
            <w:tcW w:w="6500" w:type="dxa"/>
            <w:noWrap w:val="0"/>
            <w:vAlign w:val="center"/>
          </w:tcPr>
          <w:p w14:paraId="5AD0C7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1.功能性食品配方研究合理性文献研究</w:t>
            </w:r>
          </w:p>
          <w:p w14:paraId="5C5F13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2.功能性食品功效评价的研究思路</w:t>
            </w:r>
          </w:p>
          <w:p w14:paraId="43D488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3.功能性食品的质量标准研究思路</w:t>
            </w:r>
          </w:p>
          <w:p w14:paraId="5AE0A8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4.功能性食品原料的活性成分提取及保存注意事项</w:t>
            </w:r>
          </w:p>
        </w:tc>
      </w:tr>
      <w:tr w14:paraId="4B031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00" w:type="dxa"/>
            <w:noWrap w:val="0"/>
            <w:vAlign w:val="center"/>
          </w:tcPr>
          <w:p w14:paraId="5C8EAB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3" w:type="dxa"/>
            <w:gridSpan w:val="2"/>
            <w:noWrap w:val="0"/>
            <w:vAlign w:val="center"/>
          </w:tcPr>
          <w:p w14:paraId="28F804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（二）法规要求</w:t>
            </w:r>
          </w:p>
        </w:tc>
      </w:tr>
      <w:tr w14:paraId="7696F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1200" w:type="dxa"/>
            <w:noWrap w:val="0"/>
            <w:vAlign w:val="center"/>
          </w:tcPr>
          <w:p w14:paraId="6CA78C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5月23日</w:t>
            </w:r>
          </w:p>
        </w:tc>
        <w:tc>
          <w:tcPr>
            <w:tcW w:w="1313" w:type="dxa"/>
            <w:noWrap w:val="0"/>
            <w:vAlign w:val="center"/>
          </w:tcPr>
          <w:p w14:paraId="7DDF42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配料合规</w:t>
            </w:r>
          </w:p>
          <w:p w14:paraId="6E4EFD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食品原料分类</w:t>
            </w:r>
          </w:p>
          <w:p w14:paraId="74FAB3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及合规性判定</w:t>
            </w:r>
          </w:p>
        </w:tc>
        <w:tc>
          <w:tcPr>
            <w:tcW w:w="6500" w:type="dxa"/>
            <w:noWrap w:val="0"/>
            <w:vAlign w:val="center"/>
          </w:tcPr>
          <w:p w14:paraId="75C58E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食品原料分类（农产品、新食品原料、药食同源、其他食品原料）</w:t>
            </w:r>
          </w:p>
          <w:p w14:paraId="560ABB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1.食品配料标识内容合规</w:t>
            </w:r>
          </w:p>
          <w:p w14:paraId="3909FB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2.食品配料标识形式合规</w:t>
            </w:r>
          </w:p>
          <w:p w14:paraId="2A478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3.食品配料应用合规</w:t>
            </w:r>
          </w:p>
          <w:p w14:paraId="14304F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4.食品配料表内容投诉举报处理</w:t>
            </w:r>
          </w:p>
        </w:tc>
      </w:tr>
      <w:tr w14:paraId="64B98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200" w:type="dxa"/>
            <w:noWrap w:val="0"/>
            <w:vAlign w:val="center"/>
          </w:tcPr>
          <w:p w14:paraId="7D00C4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5月23日</w:t>
            </w:r>
          </w:p>
        </w:tc>
        <w:tc>
          <w:tcPr>
            <w:tcW w:w="1313" w:type="dxa"/>
            <w:noWrap w:val="0"/>
            <w:vAlign w:val="center"/>
          </w:tcPr>
          <w:p w14:paraId="4D868C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标签合规</w:t>
            </w:r>
          </w:p>
          <w:p w14:paraId="398130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食品标签要求及常见问题解析</w:t>
            </w:r>
          </w:p>
        </w:tc>
        <w:tc>
          <w:tcPr>
            <w:tcW w:w="6500" w:type="dxa"/>
            <w:noWrap w:val="0"/>
            <w:vAlign w:val="center"/>
          </w:tcPr>
          <w:p w14:paraId="556323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食品标签合规主要法律依据</w:t>
            </w:r>
          </w:p>
          <w:p w14:paraId="679212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1.GB 7718预包装食品标签通则</w:t>
            </w:r>
          </w:p>
          <w:p w14:paraId="2DFE4B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2.GB 28050预包装食品营养标签通则</w:t>
            </w:r>
          </w:p>
          <w:p w14:paraId="322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3.特殊膳食用食品—运动营养食品标签要求</w:t>
            </w:r>
          </w:p>
        </w:tc>
      </w:tr>
      <w:tr w14:paraId="11443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00" w:type="dxa"/>
            <w:noWrap w:val="0"/>
            <w:vAlign w:val="center"/>
          </w:tcPr>
          <w:p w14:paraId="2FD2E3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3" w:type="dxa"/>
            <w:gridSpan w:val="2"/>
            <w:noWrap w:val="0"/>
            <w:vAlign w:val="center"/>
          </w:tcPr>
          <w:p w14:paraId="7215ED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（三）实操培训</w:t>
            </w:r>
          </w:p>
        </w:tc>
      </w:tr>
      <w:tr w14:paraId="371D3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200" w:type="dxa"/>
            <w:vMerge w:val="restart"/>
            <w:noWrap w:val="0"/>
            <w:vAlign w:val="center"/>
          </w:tcPr>
          <w:p w14:paraId="35A6D2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5月24日</w:t>
            </w:r>
          </w:p>
        </w:tc>
        <w:tc>
          <w:tcPr>
            <w:tcW w:w="1313" w:type="dxa"/>
            <w:noWrap w:val="0"/>
            <w:vAlign w:val="center"/>
          </w:tcPr>
          <w:p w14:paraId="335BF0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实操</w:t>
            </w:r>
          </w:p>
          <w:p w14:paraId="6E57EB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（原料前处理及制粒）</w:t>
            </w:r>
          </w:p>
        </w:tc>
        <w:tc>
          <w:tcPr>
            <w:tcW w:w="6500" w:type="dxa"/>
            <w:noWrap w:val="0"/>
            <w:vAlign w:val="center"/>
          </w:tcPr>
          <w:p w14:paraId="5F4742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1.粉碎机、旋振筛、料斗式混合机的结构及工作原理</w:t>
            </w:r>
          </w:p>
          <w:p w14:paraId="3F792B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2.粉碎过筛、称量配料、混合岗位SOP及在线质量控制；</w:t>
            </w:r>
          </w:p>
          <w:p w14:paraId="2E89F7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3.掌握偏差管理、前处理岗位的物料平衡计算</w:t>
            </w:r>
          </w:p>
          <w:p w14:paraId="75E7AB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4.制粒工艺过程中的常见问题及解决方法</w:t>
            </w:r>
          </w:p>
        </w:tc>
      </w:tr>
      <w:tr w14:paraId="1DA7A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0" w:type="dxa"/>
            <w:vMerge w:val="continue"/>
            <w:noWrap w:val="0"/>
            <w:vAlign w:val="center"/>
          </w:tcPr>
          <w:p w14:paraId="68C832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19B9CC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实操工艺及</w:t>
            </w:r>
          </w:p>
          <w:p w14:paraId="1664BE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产品案例</w:t>
            </w:r>
          </w:p>
        </w:tc>
        <w:tc>
          <w:tcPr>
            <w:tcW w:w="6500" w:type="dxa"/>
            <w:noWrap w:val="0"/>
            <w:vAlign w:val="center"/>
          </w:tcPr>
          <w:p w14:paraId="5A4F1F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压片、胶囊填充-现场实操</w:t>
            </w:r>
          </w:p>
          <w:p w14:paraId="3D8013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1.工艺流程设备结构、组成、工作原理及注意事项；</w:t>
            </w:r>
          </w:p>
          <w:p w14:paraId="5ABE6E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2.对应岗位的岗位操作流程、设备操作及清洁SOP；</w:t>
            </w:r>
          </w:p>
          <w:p w14:paraId="4941C6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3.操作过程中的质量控制；</w:t>
            </w:r>
          </w:p>
          <w:p w14:paraId="1C1DDE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4.对应每个工艺环节及产品加工过程中容易出现的问题、原因分析及解决方法；</w:t>
            </w:r>
          </w:p>
          <w:p w14:paraId="25C6CF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5.对应产品的关键控制点和操作要点等。</w:t>
            </w:r>
          </w:p>
        </w:tc>
      </w:tr>
      <w:tr w14:paraId="0CE10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200" w:type="dxa"/>
            <w:vMerge w:val="restart"/>
            <w:noWrap w:val="0"/>
            <w:vAlign w:val="center"/>
          </w:tcPr>
          <w:p w14:paraId="7505C9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5月25日</w:t>
            </w:r>
          </w:p>
        </w:tc>
        <w:tc>
          <w:tcPr>
            <w:tcW w:w="1313" w:type="dxa"/>
            <w:noWrap w:val="0"/>
            <w:vAlign w:val="center"/>
          </w:tcPr>
          <w:p w14:paraId="3940D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实操</w:t>
            </w:r>
          </w:p>
          <w:p w14:paraId="7A41B0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（提取、浓缩、精制、干燥）</w:t>
            </w:r>
          </w:p>
        </w:tc>
        <w:tc>
          <w:tcPr>
            <w:tcW w:w="6500" w:type="dxa"/>
            <w:noWrap w:val="0"/>
            <w:vAlign w:val="center"/>
          </w:tcPr>
          <w:p w14:paraId="4750CC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1.了解药食同源及其他植物提取方法的原理、新技术、常见设备；</w:t>
            </w:r>
          </w:p>
          <w:p w14:paraId="01FFCD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2.熟悉药食同源及其他植物提取车间总体的设计、生产布局、工艺流程及卫生要求，岗位操作规程的编写；</w:t>
            </w:r>
          </w:p>
          <w:p w14:paraId="04C545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3.了解水提常见处理方法优势与常见问题；</w:t>
            </w:r>
          </w:p>
          <w:p w14:paraId="2566C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4.掌握水提醇沉与醇提水沉的生产操作、验证方法；</w:t>
            </w:r>
          </w:p>
          <w:p w14:paraId="417C22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5.了解药食同源及其他植物常见的浓缩、精制原理及方法；常见的干燥原理、方法及常见设备</w:t>
            </w:r>
          </w:p>
        </w:tc>
      </w:tr>
      <w:tr w14:paraId="0A23F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</w:trPr>
        <w:tc>
          <w:tcPr>
            <w:tcW w:w="1200" w:type="dxa"/>
            <w:vMerge w:val="continue"/>
            <w:noWrap w:val="0"/>
            <w:vAlign w:val="center"/>
          </w:tcPr>
          <w:p w14:paraId="7D7351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noWrap w:val="0"/>
            <w:vAlign w:val="center"/>
          </w:tcPr>
          <w:p w14:paraId="4A7D3A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实操</w:t>
            </w:r>
          </w:p>
          <w:p w14:paraId="424A16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（菌种培养、发酵、提取、分离纯化）</w:t>
            </w:r>
          </w:p>
        </w:tc>
        <w:tc>
          <w:tcPr>
            <w:tcW w:w="6500" w:type="dxa"/>
            <w:noWrap w:val="0"/>
            <w:vAlign w:val="center"/>
          </w:tcPr>
          <w:p w14:paraId="663BC8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1.菌种制备的工艺流程；</w:t>
            </w:r>
          </w:p>
          <w:p w14:paraId="1935D7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2.了解菌种培养过程中的常见问题及处理方法。</w:t>
            </w:r>
          </w:p>
          <w:p w14:paraId="555A39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3.掌握发酵过程中重要工艺参数对发酵的影响及控制；</w:t>
            </w:r>
          </w:p>
          <w:p w14:paraId="11812C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4.熟悉全自动发酵罐的结构、工作原理；</w:t>
            </w:r>
          </w:p>
          <w:p w14:paraId="169DC8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5.了解CIP系统、SIP系统的结构和工作原理；</w:t>
            </w:r>
          </w:p>
          <w:p w14:paraId="0E9FC1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6.了解发酵过程中的常见问题及处理方法。</w:t>
            </w:r>
          </w:p>
          <w:p w14:paraId="2ABFF7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7.熟悉提取过程所用设备的结构、工作原理，学会高速分离机和板框压滤机的操作；</w:t>
            </w:r>
          </w:p>
          <w:p w14:paraId="1B98C2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8.了解提取过程中的常见问题及处理方法。</w:t>
            </w:r>
          </w:p>
          <w:p w14:paraId="4DA306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9.熟悉分离纯化过程所用设备的结构、工作原理，学会操作中空纤维超滤系统和液相层析仪；</w:t>
            </w:r>
          </w:p>
          <w:p w14:paraId="51C5FD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10.了解分离纯化过程中的常见问题及处理方法。</w:t>
            </w:r>
          </w:p>
        </w:tc>
      </w:tr>
      <w:tr w14:paraId="77336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200" w:type="dxa"/>
            <w:noWrap w:val="0"/>
            <w:vAlign w:val="center"/>
          </w:tcPr>
          <w:p w14:paraId="25CF56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5月25日</w:t>
            </w:r>
          </w:p>
        </w:tc>
        <w:tc>
          <w:tcPr>
            <w:tcW w:w="1313" w:type="dxa"/>
            <w:noWrap w:val="0"/>
            <w:vAlign w:val="center"/>
          </w:tcPr>
          <w:p w14:paraId="46E426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参观学习（可自选）</w:t>
            </w:r>
          </w:p>
        </w:tc>
        <w:tc>
          <w:tcPr>
            <w:tcW w:w="6500" w:type="dxa"/>
            <w:noWrap w:val="0"/>
            <w:vAlign w:val="center"/>
          </w:tcPr>
          <w:p w14:paraId="1AE99A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1.参观中国药科大学药用植物园</w:t>
            </w:r>
          </w:p>
          <w:p w14:paraId="6F32E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参观中国药科大学药学博物馆</w:t>
            </w:r>
          </w:p>
        </w:tc>
      </w:tr>
    </w:tbl>
    <w:p w14:paraId="66FC335D">
      <w:pPr>
        <w:rPr>
          <w:rFonts w:hint="eastAsia"/>
        </w:rPr>
      </w:pPr>
    </w:p>
    <w:p w14:paraId="235AB41C"/>
    <w:p w14:paraId="64717F48"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390" w:bottom="1440" w:left="1496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E80F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310F6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310F6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9A9B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01A00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01A00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2C1AF">
    <w:pPr>
      <w:pStyle w:val="4"/>
      <w:pBdr>
        <w:bottom w:val="none" w:color="auto" w:sz="0" w:space="0"/>
      </w:pBdr>
      <w:jc w:val="both"/>
    </w:pPr>
  </w:p>
  <w:p w14:paraId="540417A1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0B7D7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ZGM4NWZmODM4ZmYzNDVmZWU2YzRjZjE3ODdlMTUifQ=="/>
  </w:docVars>
  <w:rsids>
    <w:rsidRoot w:val="00000000"/>
    <w:rsid w:val="028247F4"/>
    <w:rsid w:val="02CF6E49"/>
    <w:rsid w:val="03E272F9"/>
    <w:rsid w:val="05277C76"/>
    <w:rsid w:val="055661F0"/>
    <w:rsid w:val="05954250"/>
    <w:rsid w:val="05D90BCF"/>
    <w:rsid w:val="06742FF7"/>
    <w:rsid w:val="06B036DE"/>
    <w:rsid w:val="07350087"/>
    <w:rsid w:val="0857612C"/>
    <w:rsid w:val="09297778"/>
    <w:rsid w:val="0B9D61FB"/>
    <w:rsid w:val="0C517711"/>
    <w:rsid w:val="0D000E7E"/>
    <w:rsid w:val="0DC91529"/>
    <w:rsid w:val="11CB5870"/>
    <w:rsid w:val="121531F2"/>
    <w:rsid w:val="134132D4"/>
    <w:rsid w:val="146E4BD8"/>
    <w:rsid w:val="14D26F15"/>
    <w:rsid w:val="14DC7D94"/>
    <w:rsid w:val="162B090F"/>
    <w:rsid w:val="16AF5298"/>
    <w:rsid w:val="17125CEF"/>
    <w:rsid w:val="17435EA8"/>
    <w:rsid w:val="1B8329A9"/>
    <w:rsid w:val="1BB235FD"/>
    <w:rsid w:val="1CE75528"/>
    <w:rsid w:val="1EEB7551"/>
    <w:rsid w:val="1F165D1F"/>
    <w:rsid w:val="1F374545"/>
    <w:rsid w:val="1FD123D9"/>
    <w:rsid w:val="23775858"/>
    <w:rsid w:val="24B13BE8"/>
    <w:rsid w:val="24CF6FCD"/>
    <w:rsid w:val="24FB4266"/>
    <w:rsid w:val="27C512CF"/>
    <w:rsid w:val="27F92604"/>
    <w:rsid w:val="288F53F1"/>
    <w:rsid w:val="29F41202"/>
    <w:rsid w:val="2B513988"/>
    <w:rsid w:val="2B8F5708"/>
    <w:rsid w:val="2C610E53"/>
    <w:rsid w:val="2FF63FA8"/>
    <w:rsid w:val="30185CCC"/>
    <w:rsid w:val="30BD6874"/>
    <w:rsid w:val="31FB7654"/>
    <w:rsid w:val="346040E6"/>
    <w:rsid w:val="34DB0F11"/>
    <w:rsid w:val="35814314"/>
    <w:rsid w:val="367C7E81"/>
    <w:rsid w:val="386677F1"/>
    <w:rsid w:val="395D6E46"/>
    <w:rsid w:val="396C3B3A"/>
    <w:rsid w:val="396C7089"/>
    <w:rsid w:val="3A286AD1"/>
    <w:rsid w:val="3C8C57E7"/>
    <w:rsid w:val="3D0970E5"/>
    <w:rsid w:val="3D2C764F"/>
    <w:rsid w:val="3D960B78"/>
    <w:rsid w:val="3DA660B9"/>
    <w:rsid w:val="3E12021B"/>
    <w:rsid w:val="3E6D3687"/>
    <w:rsid w:val="3EB05C6A"/>
    <w:rsid w:val="406008A6"/>
    <w:rsid w:val="40B2630C"/>
    <w:rsid w:val="41264948"/>
    <w:rsid w:val="41B96BE3"/>
    <w:rsid w:val="425C413F"/>
    <w:rsid w:val="430E12E6"/>
    <w:rsid w:val="436808C1"/>
    <w:rsid w:val="44F468B0"/>
    <w:rsid w:val="45AE3CC4"/>
    <w:rsid w:val="47A30D1D"/>
    <w:rsid w:val="48D32C81"/>
    <w:rsid w:val="49C8201A"/>
    <w:rsid w:val="4AB77AAC"/>
    <w:rsid w:val="4B7778F3"/>
    <w:rsid w:val="4D844549"/>
    <w:rsid w:val="4DB43081"/>
    <w:rsid w:val="4E600B13"/>
    <w:rsid w:val="4F430152"/>
    <w:rsid w:val="519915B2"/>
    <w:rsid w:val="51B64EEE"/>
    <w:rsid w:val="52374280"/>
    <w:rsid w:val="531620E8"/>
    <w:rsid w:val="541058EB"/>
    <w:rsid w:val="546D651C"/>
    <w:rsid w:val="55004DFD"/>
    <w:rsid w:val="55C37BD9"/>
    <w:rsid w:val="58D00F8B"/>
    <w:rsid w:val="5979488D"/>
    <w:rsid w:val="5B6854AA"/>
    <w:rsid w:val="5B977B3E"/>
    <w:rsid w:val="5BDB0640"/>
    <w:rsid w:val="5C0F059B"/>
    <w:rsid w:val="5D9E0975"/>
    <w:rsid w:val="5E4A0E97"/>
    <w:rsid w:val="60025ECE"/>
    <w:rsid w:val="6124445F"/>
    <w:rsid w:val="615A7643"/>
    <w:rsid w:val="61807843"/>
    <w:rsid w:val="639C6FF3"/>
    <w:rsid w:val="64116425"/>
    <w:rsid w:val="64381E1F"/>
    <w:rsid w:val="64A86F81"/>
    <w:rsid w:val="64C45DE1"/>
    <w:rsid w:val="65EC0A86"/>
    <w:rsid w:val="674548F2"/>
    <w:rsid w:val="6C123A56"/>
    <w:rsid w:val="6D3B2A1F"/>
    <w:rsid w:val="6D4E10EE"/>
    <w:rsid w:val="6E535EB5"/>
    <w:rsid w:val="709526D9"/>
    <w:rsid w:val="712B2DAA"/>
    <w:rsid w:val="712B4B58"/>
    <w:rsid w:val="72435ED2"/>
    <w:rsid w:val="727E7514"/>
    <w:rsid w:val="73C51294"/>
    <w:rsid w:val="75624B17"/>
    <w:rsid w:val="77043E82"/>
    <w:rsid w:val="775C1F10"/>
    <w:rsid w:val="78520C1D"/>
    <w:rsid w:val="78E73A98"/>
    <w:rsid w:val="7A480529"/>
    <w:rsid w:val="7A5073DE"/>
    <w:rsid w:val="7CCD6656"/>
    <w:rsid w:val="7D502BCC"/>
    <w:rsid w:val="7DD43545"/>
    <w:rsid w:val="7E5E74C7"/>
    <w:rsid w:val="7EC64112"/>
    <w:rsid w:val="7F67406F"/>
    <w:rsid w:val="7FE366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nhideWhenUsed/>
    <w:qFormat/>
    <w:uiPriority w:val="99"/>
    <w:rPr>
      <w:color w:val="0563C1"/>
      <w:u w:val="single"/>
    </w:r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2062</Words>
  <Characters>2240</Characters>
  <Lines>0</Lines>
  <Paragraphs>0</Paragraphs>
  <TotalTime>3</TotalTime>
  <ScaleCrop>false</ScaleCrop>
  <LinksUpToDate>false</LinksUpToDate>
  <CharactersWithSpaces>2296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2023-06-20T01:58:00Z</dcterms:created>
  <dc:creator>admin</dc:creator>
  <cp:lastModifiedBy>翠</cp:lastModifiedBy>
  <dcterms:modified xsi:type="dcterms:W3CDTF">2025-04-03T12:59:06Z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431484670F4E430B898852A00E2D6D86_13</vt:lpwstr>
  </property>
  <property fmtid="{D5CDD505-2E9C-101B-9397-08002B2CF9AE}" pid="4" name="KSOTemplateDocerSaveRecord">
    <vt:lpwstr>eyJoZGlkIjoiMmM0MTM2NjYyZjI5MmFkMmYzMGY4NWQ0MDg4ZTlhZWEiLCJ1c2VySWQiOiI1MTg5NDY5MzEifQ==</vt:lpwstr>
  </property>
</Properties>
</file>