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720" w:lineRule="auto"/>
        <w:jc w:val="center"/>
        <w:rPr>
          <w:rFonts w:asciiTheme="minorEastAsia" w:hAnsiTheme="minorEastAsia"/>
          <w:b/>
          <w:sz w:val="40"/>
        </w:rPr>
      </w:pPr>
      <w:r>
        <w:rPr>
          <w:rFonts w:hint="eastAsia" w:asciiTheme="minorEastAsia" w:hAnsiTheme="minorEastAsia"/>
          <w:b/>
          <w:bCs/>
          <w:sz w:val="32"/>
          <w:szCs w:val="30"/>
        </w:rPr>
        <w:t>关于举办“2021药品企业QA管理能力提升研修班”的通知</w:t>
      </w:r>
    </w:p>
    <w:p>
      <w:pPr>
        <w:spacing w:line="480" w:lineRule="auto"/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>一、研修班背景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质量保证是制药企业质量管理体系的基石。预判质量管理体系的风险，提升质量管理体系的成熟度，营造卓越的质量文化，是每一制药企业未来立足行业的强劲助力。质量保证执行人（QA）是质量管理体系日常践行者，也是企业未来质量官的后备力量。在知识日新月异的时代，开阔思路，拓宽视野，才能提高核心竞争力，做到百舸争流不掉队，长缨在手缚苍龙。中国药科大学继续教育学院特举办“</w:t>
      </w:r>
      <w:r>
        <w:rPr>
          <w:rFonts w:hint="eastAsia" w:asciiTheme="minorEastAsia" w:hAnsiTheme="minorEastAsia"/>
          <w:b/>
          <w:bCs/>
          <w:sz w:val="24"/>
          <w:szCs w:val="28"/>
        </w:rPr>
        <w:t>2021药品企业QA管理能力提升研修班</w:t>
      </w:r>
      <w:r>
        <w:rPr>
          <w:rFonts w:hint="eastAsia" w:asciiTheme="minorEastAsia" w:hAnsiTheme="minorEastAsia"/>
          <w:sz w:val="24"/>
          <w:szCs w:val="28"/>
        </w:rPr>
        <w:t>”，为您的成功进阶和跨越蓄积能量，现诚邀各企业报名参会！</w:t>
      </w:r>
    </w:p>
    <w:p>
      <w:pPr>
        <w:spacing w:line="480" w:lineRule="auto"/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>二、组织机构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8"/>
          <w:highlight w:val="yellow"/>
        </w:rPr>
      </w:pPr>
      <w:r>
        <w:rPr>
          <w:rFonts w:hint="eastAsia" w:asciiTheme="minorEastAsia" w:hAnsiTheme="minorEastAsia"/>
          <w:sz w:val="24"/>
          <w:szCs w:val="28"/>
        </w:rPr>
        <w:t>主办单位：中国药科大学继续教育学院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承办单位：上海鼎峰教育科技有限公司</w:t>
      </w:r>
    </w:p>
    <w:p>
      <w:pPr>
        <w:spacing w:line="480" w:lineRule="auto"/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>三、时间地点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报到时间：2021年3月25日(10:00-18:00)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课程时间：2021年3月26日</w:t>
      </w:r>
      <w:r>
        <w:rPr>
          <w:rFonts w:asciiTheme="minorEastAsia" w:hAnsiTheme="minorEastAsia"/>
          <w:sz w:val="24"/>
          <w:szCs w:val="24"/>
        </w:rPr>
        <w:t>—</w:t>
      </w:r>
      <w:r>
        <w:rPr>
          <w:rFonts w:hint="eastAsia" w:asciiTheme="minorEastAsia" w:hAnsiTheme="minorEastAsia"/>
          <w:sz w:val="24"/>
          <w:szCs w:val="24"/>
        </w:rPr>
        <w:t>27日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课程地点</w:t>
      </w:r>
      <w:r>
        <w:rPr>
          <w:rFonts w:hint="eastAsia" w:asciiTheme="minorEastAsia" w:hAnsiTheme="minorEastAsia"/>
          <w:sz w:val="24"/>
          <w:szCs w:val="28"/>
        </w:rPr>
        <w:t>：中国药科大学（江苏省</w:t>
      </w:r>
      <w:r>
        <w:rPr>
          <w:rFonts w:asciiTheme="minorEastAsia" w:hAnsiTheme="minorEastAsia"/>
          <w:sz w:val="24"/>
          <w:szCs w:val="28"/>
        </w:rPr>
        <w:t>南京市鼓楼区童家巷24号）</w:t>
      </w:r>
    </w:p>
    <w:p>
      <w:pPr>
        <w:spacing w:line="480" w:lineRule="auto"/>
        <w:ind w:firstLine="562" w:firstLineChars="200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83820</wp:posOffset>
                </wp:positionV>
                <wp:extent cx="2131060" cy="417195"/>
                <wp:effectExtent l="1905" t="0" r="67310" b="0"/>
                <wp:wrapNone/>
                <wp:docPr id="2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1060" cy="417195"/>
                          <a:chOff x="17" y="70"/>
                          <a:chExt cx="33" cy="6572203"/>
                        </a:xfrm>
                      </wpg:grpSpPr>
                      <wps:wsp>
                        <wps:cNvPr id="3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7" y="70"/>
                            <a:ext cx="34" cy="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B6DDE8"/>
                              </a:gs>
                              <a:gs pos="100000">
                                <a:srgbClr val="DBE5F1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" y="70"/>
                            <a:ext cx="27" cy="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</w:rPr>
                                <w:t>三、参会对象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o:spt="203" style="position:absolute;left:0pt;margin-left:-1.9pt;margin-top:6.6pt;height:32.85pt;width:167.8pt;z-index:251660288;mso-width-relative:page;mso-height-relative:page;" coordorigin="17,70" coordsize="33,6572203" o:gfxdata="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">
                <o:lock v:ext="edit" aspectratio="f"/>
                <v:roundrect id="AutoShape 16" o:spid="_x0000_s1026" o:spt="2" style="position:absolute;left:17;top:70;height:6;width:34;" fillcolor="#B6DDE8" filled="t" stroked="f" coordsize="21600,21600" arcsize="0.166666666666667" o:gfxdata="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MpX5b4A&#10;AADaAAAADwAAAAAAAAABACAAAAAiAAAAZHJzL2Rvd25yZXYueG1sUEsBAhQAFAAAAAgAh07iQDMv&#10;BZ47AAAAOQAAABAAAAAAAAAAAQAgAAAADQEAAGRycy9zaGFwZXhtbC54bWxQSwUGAAAAAAYABgBb&#10;AQAAtwMAAAAA&#10;">
                  <v:fill type="gradient" on="t" color2="#DBE5F1" angle="90" focus="100%" focussize="0,0" rotate="t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oundrect>
                <v:shape id="Text Box 17" o:spid="_x0000_s1026" o:spt="202" type="#_x0000_t202" style="position:absolute;left:17;top:70;height:6;width:27;" filled="f" stroked="f" coordsize="21600,21600" o:gfxdata="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dWpS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</w:rPr>
                          <w:t>三、参会对象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b/>
          <w:sz w:val="28"/>
        </w:rPr>
        <w:t>四、参会对象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药品行业质量部负责人、品管部主管、QA经理/主管、QC经理/主管、验证经理/主管、生产经理/主管。</w:t>
      </w:r>
    </w:p>
    <w:p>
      <w:pPr>
        <w:spacing w:line="480" w:lineRule="auto"/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>五、演讲嘉宾</w:t>
      </w:r>
    </w:p>
    <w:p>
      <w:pPr>
        <w:spacing w:line="500" w:lineRule="exact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蒋  蓉：</w:t>
      </w:r>
      <w:r>
        <w:rPr>
          <w:rFonts w:hint="eastAsia" w:asciiTheme="minorEastAsia" w:hAnsiTheme="minorEastAsia"/>
          <w:sz w:val="24"/>
          <w:szCs w:val="24"/>
        </w:rPr>
        <w:t>博士，中国药科大学药事管理系老师，国家药物政策与医药产业经济研究中心项目研究员，长期从事《药事法规》课程教学与研究。研究领域包括国家药物政策、药物安全与上市监管，药品市场准入政策研究。先后参与10余项国家药品监督管理局、国家工业和信息化部等委托的研究项目。主编《美国儿科用药法律法规》、《美国罕见病药物法律法规》，参编《中国药事法理论与实务》。发表药品审评审批、药品安全监管、创新药物研发、医保药品支付等相关领域研究论文40余篇。</w:t>
      </w:r>
    </w:p>
    <w:p>
      <w:pPr>
        <w:spacing w:line="500" w:lineRule="exact"/>
        <w:ind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毕瑞凤</w:t>
      </w:r>
      <w:r>
        <w:rPr>
          <w:rFonts w:hint="eastAsia" w:asciiTheme="minorEastAsia" w:hAnsiTheme="minorEastAsia"/>
          <w:sz w:val="24"/>
          <w:szCs w:val="24"/>
        </w:rPr>
        <w:t>：赛诺菲质量高管，从事制药行业近三十年，职业经历涵盖药品和消毒产品的生产、技术、注册及质量管理等各大职能区块。十年以上外资企业（欧盟背景）质量工作经验，注射剂（冻干分针、小容量注射剂）固体制剂、栓剂、凝胶剂、口服溶液剂、中药制剂，原料药等剂型领域的质量管理。</w:t>
      </w:r>
    </w:p>
    <w:p>
      <w:pPr>
        <w:spacing w:line="500" w:lineRule="exact"/>
        <w:ind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印</w:t>
      </w:r>
      <w:r>
        <w:rPr>
          <w:rFonts w:hint="eastAsia" w:asciiTheme="minorEastAsia" w:hAnsiTheme="minorEastAsia"/>
          <w:b/>
          <w:sz w:val="24"/>
          <w:szCs w:val="24"/>
        </w:rPr>
        <w:t xml:space="preserve">  </w:t>
      </w:r>
      <w:r>
        <w:rPr>
          <w:rFonts w:asciiTheme="minorEastAsia" w:hAnsiTheme="minorEastAsia"/>
          <w:b/>
          <w:sz w:val="24"/>
          <w:szCs w:val="24"/>
        </w:rPr>
        <w:t>勇</w:t>
      </w:r>
      <w:r>
        <w:rPr>
          <w:rFonts w:hint="eastAsia" w:asciiTheme="minorEastAsia" w:hAnsiTheme="minorEastAsia"/>
          <w:sz w:val="24"/>
          <w:szCs w:val="24"/>
        </w:rPr>
        <w:t>：明捷医药副总经理，负责质量管理、技术运营及IT等部门工作。原</w:t>
      </w:r>
      <w:r>
        <w:rPr>
          <w:rFonts w:asciiTheme="minorEastAsia" w:hAnsiTheme="minorEastAsia"/>
          <w:sz w:val="24"/>
          <w:szCs w:val="24"/>
        </w:rPr>
        <w:t>上海复星医药运营管理部质量副总经理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负责集团质量管理、实验室技术，数据可靠性管理及复星医药信息化技术平台等相关工作。参与多次USFDA，EMA，WHO等国内外法规部门的审计，熟悉各类实验室GMP法规要求及实验室仪器和计算机化系统管理。</w:t>
      </w:r>
    </w:p>
    <w:p>
      <w:pPr>
        <w:spacing w:line="500" w:lineRule="exact"/>
        <w:ind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尚  飞：</w:t>
      </w:r>
      <w:r>
        <w:rPr>
          <w:rFonts w:hint="eastAsia" w:asciiTheme="minorEastAsia" w:hAnsiTheme="minorEastAsia"/>
          <w:sz w:val="24"/>
          <w:szCs w:val="24"/>
        </w:rPr>
        <w:t>现任浙江华海药业股份有限公司高管，副总裁，质量负责人，首批注册执业药师，高级工程师。在全球领先的美国、欧洲、英国外企任质量负责人近30年，具备从药品生产GMP，研发GRP，到药品经营GSP的认证管理经验及药品供应链管理经验。熟悉中外药品发规及注册要求，具有丰富的FDA、WHO、EMA、TGA、日本及韩国等官方GMP认证经验以及国内注册研发生产核查及GMP认证经验。</w:t>
      </w:r>
    </w:p>
    <w:p>
      <w:pPr>
        <w:spacing w:line="480" w:lineRule="auto"/>
        <w:ind w:firstLine="562" w:firstLineChars="200"/>
        <w:rPr>
          <w:b/>
          <w:sz w:val="28"/>
        </w:rPr>
      </w:pPr>
      <w:r>
        <w:rPr>
          <w:rFonts w:hint="eastAsia"/>
          <w:b/>
          <w:sz w:val="28"/>
        </w:rPr>
        <w:t>六、会议事项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1、会议费用：2800元/人（含会务费、教材费、证书费、中餐费）</w:t>
      </w:r>
    </w:p>
    <w:p>
      <w:pPr>
        <w:spacing w:line="5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2、住宿事宜：</w:t>
      </w:r>
      <w:r>
        <w:rPr>
          <w:rFonts w:hint="eastAsia" w:asciiTheme="minorEastAsia" w:hAnsiTheme="minorEastAsia"/>
          <w:sz w:val="24"/>
          <w:szCs w:val="24"/>
        </w:rPr>
        <w:t>参会代表交通费及住宿费自理，可以享有组委会提供的团队协议价入住会议酒店。</w:t>
      </w:r>
    </w:p>
    <w:p>
      <w:pPr>
        <w:spacing w:line="500" w:lineRule="exact"/>
        <w:ind w:firstLine="480" w:firstLineChars="200"/>
        <w:rPr>
          <w:rFonts w:ascii="宋体" w:hAnsi="宋体" w:cs="仿宋"/>
          <w:color w:val="000000"/>
          <w:spacing w:val="4"/>
          <w:kern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</w:t>
      </w:r>
      <w:r>
        <w:rPr>
          <w:rFonts w:hint="eastAsia" w:ascii="宋体" w:hAnsi="宋体" w:cs="仿宋"/>
          <w:color w:val="000000"/>
          <w:spacing w:val="4"/>
          <w:kern w:val="0"/>
          <w:sz w:val="24"/>
          <w:szCs w:val="24"/>
        </w:rPr>
        <w:t>组委会联系人：</w:t>
      </w:r>
      <w:r>
        <w:rPr>
          <w:rFonts w:hint="eastAsia" w:ascii="宋体" w:hAnsi="宋体" w:cs="仿宋"/>
          <w:color w:val="000000"/>
          <w:spacing w:val="4"/>
          <w:kern w:val="0"/>
          <w:sz w:val="24"/>
          <w:szCs w:val="24"/>
          <w:lang w:val="en-US" w:eastAsia="zh-CN"/>
        </w:rPr>
        <w:t>中国药科大学 董雪松 13505180632（同微信）</w:t>
      </w:r>
      <w:r>
        <w:rPr>
          <w:rFonts w:hint="eastAsia" w:ascii="宋体" w:hAnsi="宋体" w:cs="仿宋"/>
          <w:color w:val="000000"/>
          <w:spacing w:val="4"/>
          <w:kern w:val="0"/>
          <w:sz w:val="24"/>
          <w:szCs w:val="24"/>
        </w:rPr>
        <w:t xml:space="preserve"> </w:t>
      </w:r>
    </w:p>
    <w:p>
      <w:pPr>
        <w:spacing w:line="500" w:lineRule="exact"/>
        <w:ind w:firstLine="2400" w:firstLineChars="1000"/>
        <w:rPr>
          <w:rFonts w:hint="eastAsia" w:asciiTheme="minorEastAsia" w:hAnsiTheme="minorEastAsia" w:eastAsiaTheme="minorEastAsia"/>
          <w:sz w:val="24"/>
          <w:szCs w:val="28"/>
          <w:lang w:val="en-US" w:eastAsia="zh-CN"/>
        </w:rPr>
      </w:pPr>
      <w:r>
        <w:rPr>
          <w:rFonts w:hint="eastAsia" w:asciiTheme="minorEastAsia" w:hAnsiTheme="minorEastAsia"/>
          <w:sz w:val="24"/>
          <w:szCs w:val="28"/>
        </w:rPr>
        <w:t>上海鼎峰教育科技有限公司</w:t>
      </w:r>
      <w:r>
        <w:rPr>
          <w:rFonts w:hint="eastAsia" w:asciiTheme="minorEastAsia" w:hAnsiTheme="minorEastAsia"/>
          <w:sz w:val="24"/>
          <w:szCs w:val="28"/>
          <w:lang w:val="en-US" w:eastAsia="zh-CN"/>
        </w:rPr>
        <w:t xml:space="preserve"> </w:t>
      </w:r>
      <w:r>
        <w:rPr>
          <w:rFonts w:hint="eastAsia" w:ascii="宋体" w:hAnsi="宋体" w:cs="仿宋"/>
          <w:color w:val="000000"/>
          <w:spacing w:val="4"/>
          <w:kern w:val="0"/>
          <w:sz w:val="24"/>
          <w:szCs w:val="24"/>
        </w:rPr>
        <w:t>李  艳 13331177930（同微信）</w:t>
      </w:r>
    </w:p>
    <w:p>
      <w:pPr>
        <w:spacing w:line="500" w:lineRule="exact"/>
        <w:ind w:firstLine="620" w:firstLineChars="250"/>
        <w:rPr>
          <w:rFonts w:ascii="宋体" w:hAnsi="宋体" w:cs="仿宋"/>
          <w:color w:val="000000"/>
          <w:spacing w:val="4"/>
          <w:kern w:val="0"/>
          <w:sz w:val="24"/>
          <w:szCs w:val="24"/>
        </w:rPr>
      </w:pPr>
      <w:r>
        <w:rPr>
          <w:rFonts w:hint="eastAsia" w:ascii="宋体" w:hAnsi="宋体" w:cs="仿宋"/>
          <w:bCs/>
          <w:color w:val="000000" w:themeColor="text1"/>
          <w:spacing w:val="4"/>
          <w:kern w:val="0"/>
          <w:sz w:val="24"/>
          <w:szCs w:val="24"/>
          <w14:textFill>
            <w14:solidFill>
              <w14:schemeClr w14:val="tx1"/>
            </w14:solidFill>
          </w14:textFill>
        </w:rPr>
        <w:t>电子邮箱：</w:t>
      </w:r>
      <w:r>
        <w:fldChar w:fldCharType="begin"/>
      </w:r>
      <w:r>
        <w:instrText xml:space="preserve"> HYPERLINK "mailto:cnptpc@163.com" </w:instrText>
      </w:r>
      <w:r>
        <w:fldChar w:fldCharType="separate"/>
      </w:r>
      <w:r>
        <w:rPr>
          <w:rFonts w:hint="eastAsia" w:ascii="宋体" w:hAnsi="宋体" w:cs="仿宋"/>
          <w:color w:val="000000"/>
          <w:spacing w:val="4"/>
          <w:kern w:val="0"/>
          <w:sz w:val="24"/>
          <w:szCs w:val="24"/>
        </w:rPr>
        <w:t>2850627563@qq.com</w:t>
      </w:r>
      <w:r>
        <w:rPr>
          <w:rFonts w:hint="eastAsia" w:ascii="宋体" w:hAnsi="宋体" w:cs="仿宋"/>
          <w:color w:val="000000"/>
          <w:spacing w:val="4"/>
          <w:kern w:val="0"/>
          <w:sz w:val="24"/>
          <w:szCs w:val="24"/>
        </w:rPr>
        <w:fldChar w:fldCharType="end"/>
      </w:r>
    </w:p>
    <w:p>
      <w:pPr>
        <w:spacing w:line="560" w:lineRule="exact"/>
        <w:rPr>
          <w:rFonts w:asciiTheme="minorEastAsia" w:hAnsiTheme="minorEastAsia"/>
          <w:sz w:val="24"/>
          <w:szCs w:val="28"/>
        </w:rPr>
      </w:pPr>
    </w:p>
    <w:p>
      <w:pPr>
        <w:spacing w:line="500" w:lineRule="exact"/>
        <w:ind w:firstLine="5760" w:firstLineChars="24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中国药科大学继续教育学院</w:t>
      </w:r>
    </w:p>
    <w:p>
      <w:pPr>
        <w:spacing w:line="500" w:lineRule="exact"/>
        <w:ind w:firstLine="6480" w:firstLineChars="27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2021年1月25日</w:t>
      </w:r>
    </w:p>
    <w:p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附件1：《2021药品企业QA管理能力提升研修班》课程安排</w:t>
      </w:r>
    </w:p>
    <w:p>
      <w:pPr>
        <w:spacing w:line="500" w:lineRule="exact"/>
        <w:rPr>
          <w:rFonts w:asciiTheme="minorEastAsia" w:hAnsiTheme="minorEastAsia"/>
          <w:sz w:val="24"/>
          <w:szCs w:val="24"/>
          <w:highlight w:val="yellow"/>
        </w:rPr>
      </w:pPr>
      <w:r>
        <w:rPr>
          <w:rFonts w:hint="eastAsia" w:asciiTheme="minorEastAsia" w:hAnsiTheme="minorEastAsia"/>
          <w:sz w:val="24"/>
          <w:szCs w:val="24"/>
        </w:rPr>
        <w:t>附件2：《2021药品企业QA管理能力提升研修班》报名回执表</w:t>
      </w:r>
    </w:p>
    <w:p>
      <w:pPr>
        <w:pageBreakBefore/>
        <w:spacing w:before="156" w:beforeLines="50" w:line="380" w:lineRule="exact"/>
        <w:rPr>
          <w:rFonts w:asciiTheme="minorEastAsia" w:hAnsiTheme="minorEastAsia"/>
          <w:b/>
          <w:sz w:val="28"/>
          <w:szCs w:val="24"/>
        </w:rPr>
      </w:pPr>
      <w:r>
        <w:rPr>
          <w:rFonts w:hint="eastAsia" w:asciiTheme="minorEastAsia" w:hAnsiTheme="minorEastAsia"/>
          <w:b/>
          <w:sz w:val="28"/>
          <w:szCs w:val="24"/>
        </w:rPr>
        <w:t>附件1：   《</w:t>
      </w:r>
      <w:r>
        <w:rPr>
          <w:rFonts w:hint="eastAsia" w:asciiTheme="minorEastAsia" w:hAnsiTheme="minorEastAsia"/>
          <w:b/>
          <w:sz w:val="28"/>
          <w:szCs w:val="28"/>
        </w:rPr>
        <w:t>2021药品企业QA管理能力提升研修班</w:t>
      </w:r>
      <w:r>
        <w:rPr>
          <w:rFonts w:hint="eastAsia" w:asciiTheme="minorEastAsia" w:hAnsiTheme="minorEastAsia"/>
          <w:b/>
          <w:sz w:val="28"/>
          <w:szCs w:val="24"/>
        </w:rPr>
        <w:t>》</w:t>
      </w:r>
      <w:r>
        <w:rPr>
          <w:rFonts w:hint="eastAsia" w:asciiTheme="minorEastAsia" w:hAnsiTheme="minorEastAsia"/>
          <w:b/>
          <w:sz w:val="28"/>
          <w:szCs w:val="28"/>
        </w:rPr>
        <w:t>课程安排</w:t>
      </w:r>
    </w:p>
    <w:tbl>
      <w:tblPr>
        <w:tblStyle w:val="6"/>
        <w:tblpPr w:leftFromText="180" w:rightFromText="180" w:vertAnchor="text" w:horzAnchor="page" w:tblpX="1151" w:tblpY="205"/>
        <w:tblOverlap w:val="never"/>
        <w:tblW w:w="988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5221"/>
        <w:gridCol w:w="27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6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CE6F2" w:themeFill="accent1" w:themeFillTint="32"/>
            <w:vAlign w:val="center"/>
          </w:tcPr>
          <w:p>
            <w:pPr>
              <w:spacing w:line="360" w:lineRule="auto"/>
              <w:ind w:firstLine="118" w:firstLineChars="49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课程模块</w:t>
            </w:r>
          </w:p>
        </w:tc>
        <w:tc>
          <w:tcPr>
            <w:tcW w:w="5221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CE6F2" w:themeFill="accent1" w:themeFillTint="32"/>
            <w:vAlign w:val="center"/>
          </w:tcPr>
          <w:p>
            <w:pPr>
              <w:spacing w:line="360" w:lineRule="auto"/>
              <w:ind w:firstLine="118" w:firstLineChars="49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主要内容</w:t>
            </w:r>
          </w:p>
        </w:tc>
        <w:tc>
          <w:tcPr>
            <w:tcW w:w="2738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CE6F2" w:themeFill="accent1" w:themeFillTint="32"/>
            <w:vAlign w:val="center"/>
          </w:tcPr>
          <w:p>
            <w:pPr>
              <w:spacing w:line="360" w:lineRule="auto"/>
              <w:ind w:firstLine="118" w:firstLineChars="49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主讲嘉宾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atLeast"/>
        </w:trPr>
        <w:tc>
          <w:tcPr>
            <w:tcW w:w="1926" w:type="dxa"/>
            <w:tcBorders>
              <w:top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质量体系的设计及运营</w:t>
            </w:r>
          </w:p>
        </w:tc>
        <w:tc>
          <w:tcPr>
            <w:tcW w:w="52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1、质量体系K</w:t>
            </w:r>
            <w:r>
              <w:rPr>
                <w:rFonts w:asciiTheme="minorEastAsia" w:hAnsiTheme="minorEastAsia"/>
                <w:sz w:val="24"/>
                <w:szCs w:val="28"/>
              </w:rPr>
              <w:t xml:space="preserve">PI 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>的设定及运营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2、质量体系难点解析之偏差：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3、偏差管理之调查分析——根本原因分析及C</w:t>
            </w:r>
            <w:r>
              <w:rPr>
                <w:rFonts w:asciiTheme="minorEastAsia" w:hAnsiTheme="minorEastAsia"/>
                <w:sz w:val="24"/>
                <w:szCs w:val="28"/>
              </w:rPr>
              <w:t xml:space="preserve">APA 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>确定：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根本原因难以确定的偏差分析——典型案例解析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人为差错作为根本原因——典型案例解析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重复出现的偏差及</w:t>
            </w:r>
            <w:r>
              <w:rPr>
                <w:rFonts w:asciiTheme="minorEastAsia" w:hAnsiTheme="minorEastAsia"/>
                <w:sz w:val="24"/>
                <w:szCs w:val="28"/>
              </w:rPr>
              <w:t xml:space="preserve">CAPA 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>有效性的评估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偏差的质量影响的评估</w:t>
            </w:r>
          </w:p>
        </w:tc>
        <w:tc>
          <w:tcPr>
            <w:tcW w:w="2738" w:type="dxa"/>
            <w:tcBorders>
              <w:top w:val="single" w:color="000000" w:themeColor="text1" w:sz="4" w:space="0"/>
              <w:left w:val="single" w:color="000000" w:themeColor="text1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毕瑞凤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赛诺菲质量高管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</w:trPr>
        <w:tc>
          <w:tcPr>
            <w:tcW w:w="1926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审计管理</w:t>
            </w:r>
          </w:p>
        </w:tc>
        <w:tc>
          <w:tcPr>
            <w:tcW w:w="52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/>
                <w:sz w:val="24"/>
                <w:szCs w:val="28"/>
              </w:rPr>
              <w:t>GMP审计/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>检查要点之</w:t>
            </w:r>
            <w:r>
              <w:rPr>
                <w:rFonts w:asciiTheme="minorEastAsia" w:hAnsiTheme="minorEastAsia"/>
                <w:sz w:val="24"/>
                <w:szCs w:val="28"/>
              </w:rPr>
              <w:t>OOS/OOT&amp;实验室事件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>管理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1、远程审计的实施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2、远程审计与现场审计G</w:t>
            </w:r>
            <w:r>
              <w:rPr>
                <w:rFonts w:asciiTheme="minorEastAsia" w:hAnsiTheme="minorEastAsia"/>
                <w:sz w:val="24"/>
                <w:szCs w:val="28"/>
              </w:rPr>
              <w:t>AP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3、远程审计迎检准备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4、文件准备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5、远程审计的实施</w:t>
            </w:r>
          </w:p>
        </w:tc>
        <w:tc>
          <w:tcPr>
            <w:tcW w:w="27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印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勇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明捷医药副总经理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926" w:type="dxa"/>
            <w:tcBorders>
              <w:top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风险管理</w:t>
            </w:r>
          </w:p>
        </w:tc>
        <w:tc>
          <w:tcPr>
            <w:tcW w:w="52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1、ICH Q9 及典型的风险分析工具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交叉污染的风险分析及典型案例解析</w:t>
            </w:r>
            <w:r>
              <w:rPr>
                <w:rFonts w:asciiTheme="minorEastAsia" w:hAnsiTheme="minorEastAsia"/>
                <w:sz w:val="24"/>
                <w:szCs w:val="28"/>
              </w:rPr>
              <w:t>—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产品共线（固体制剂共线 </w:t>
            </w:r>
            <w:r>
              <w:rPr>
                <w:rFonts w:asciiTheme="minorEastAsia" w:hAnsiTheme="minorEastAsia"/>
                <w:sz w:val="24"/>
                <w:szCs w:val="28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>注射剂共线）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3、防止差错的风险分析</w:t>
            </w:r>
            <w:r>
              <w:rPr>
                <w:rFonts w:asciiTheme="minorEastAsia" w:hAnsiTheme="minorEastAsia"/>
                <w:sz w:val="24"/>
                <w:szCs w:val="28"/>
              </w:rPr>
              <w:t>—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>经典案例</w:t>
            </w:r>
          </w:p>
        </w:tc>
        <w:tc>
          <w:tcPr>
            <w:tcW w:w="2738" w:type="dxa"/>
            <w:tcBorders>
              <w:top w:val="single" w:color="000000" w:themeColor="text1" w:sz="4" w:space="0"/>
              <w:left w:val="single" w:color="000000" w:themeColor="text1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尚  飞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浙江华海药业副总裁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26" w:type="dxa"/>
            <w:tcBorders>
              <w:top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法规解读</w:t>
            </w:r>
          </w:p>
        </w:tc>
        <w:tc>
          <w:tcPr>
            <w:tcW w:w="5221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1、工艺变更管理（申报及公司内部管理）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2、</w:t>
            </w:r>
            <w:r>
              <w:rPr>
                <w:rFonts w:asciiTheme="minorEastAsia" w:hAnsiTheme="minorEastAsia"/>
                <w:sz w:val="24"/>
                <w:szCs w:val="28"/>
              </w:rPr>
              <w:t>MAH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>——生产质量管理协议</w:t>
            </w:r>
          </w:p>
        </w:tc>
        <w:tc>
          <w:tcPr>
            <w:tcW w:w="2738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蒋  蓉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中国药科大学药事讲师</w:t>
            </w:r>
          </w:p>
        </w:tc>
      </w:tr>
    </w:tbl>
    <w:p>
      <w:pPr>
        <w:spacing w:before="156" w:beforeLines="50" w:line="380" w:lineRule="exact"/>
        <w:rPr>
          <w:rFonts w:asciiTheme="minorEastAsia" w:hAnsiTheme="minorEastAsia"/>
          <w:b/>
          <w:sz w:val="28"/>
          <w:szCs w:val="28"/>
        </w:rPr>
      </w:pPr>
    </w:p>
    <w:p>
      <w:pPr>
        <w:spacing w:before="156" w:beforeLines="50" w:line="380" w:lineRule="exact"/>
        <w:rPr>
          <w:rFonts w:asciiTheme="minorEastAsia" w:hAnsiTheme="minorEastAsia"/>
          <w:b/>
          <w:sz w:val="28"/>
          <w:szCs w:val="24"/>
        </w:rPr>
      </w:pPr>
    </w:p>
    <w:p>
      <w:pPr>
        <w:spacing w:before="156" w:beforeLines="50" w:line="380" w:lineRule="exact"/>
        <w:rPr>
          <w:rFonts w:asciiTheme="minorEastAsia" w:hAnsiTheme="minorEastAsia"/>
          <w:b/>
          <w:sz w:val="28"/>
          <w:szCs w:val="24"/>
        </w:rPr>
      </w:pPr>
    </w:p>
    <w:p>
      <w:pPr>
        <w:pageBreakBefore/>
        <w:spacing w:before="156" w:beforeLines="50" w:line="380" w:lineRule="exact"/>
        <w:rPr>
          <w:rFonts w:asciiTheme="minorEastAsia" w:hAnsiTheme="minorEastAsia"/>
          <w:b/>
          <w:sz w:val="28"/>
          <w:szCs w:val="24"/>
        </w:rPr>
      </w:pPr>
      <w:r>
        <w:rPr>
          <w:rFonts w:hint="eastAsia" w:asciiTheme="minorEastAsia" w:hAnsiTheme="minorEastAsia"/>
          <w:b/>
          <w:sz w:val="28"/>
          <w:szCs w:val="24"/>
        </w:rPr>
        <w:t>附件2：  《</w:t>
      </w:r>
      <w:r>
        <w:rPr>
          <w:rFonts w:hint="eastAsia" w:asciiTheme="minorEastAsia" w:hAnsiTheme="minorEastAsia"/>
          <w:b/>
          <w:sz w:val="28"/>
          <w:szCs w:val="28"/>
        </w:rPr>
        <w:t>2021药品企业QA管理能力提升研修班</w:t>
      </w:r>
      <w:r>
        <w:rPr>
          <w:rFonts w:hint="eastAsia" w:asciiTheme="minorEastAsia" w:hAnsiTheme="minorEastAsia"/>
          <w:b/>
          <w:sz w:val="28"/>
          <w:szCs w:val="24"/>
        </w:rPr>
        <w:t>》报名回执表</w:t>
      </w:r>
    </w:p>
    <w:p>
      <w:pPr>
        <w:spacing w:before="156" w:beforeLines="50" w:line="380" w:lineRule="exact"/>
        <w:rPr>
          <w:rFonts w:asciiTheme="minorEastAsia" w:hAnsiTheme="minorEastAsia"/>
          <w:b/>
          <w:sz w:val="28"/>
          <w:szCs w:val="24"/>
        </w:rPr>
      </w:pPr>
      <w:r>
        <w:rPr>
          <w:rFonts w:hint="eastAsia" w:asciiTheme="minorEastAsia" w:hAnsiTheme="minorEastAsia"/>
          <w:b/>
          <w:sz w:val="28"/>
          <w:szCs w:val="24"/>
        </w:rPr>
        <w:t xml:space="preserve">                                                        </w:t>
      </w:r>
      <w:r>
        <w:rPr>
          <w:rFonts w:hint="eastAsia" w:ascii="宋体" w:hAnsi="宋体"/>
          <w:bCs/>
          <w:color w:val="FF0000"/>
          <w:sz w:val="24"/>
        </w:rPr>
        <w:t>*</w:t>
      </w:r>
      <w:r>
        <w:rPr>
          <w:rFonts w:hint="eastAsia" w:ascii="宋体" w:hAnsi="宋体"/>
          <w:bCs/>
          <w:sz w:val="24"/>
        </w:rPr>
        <w:t>为必填</w:t>
      </w:r>
    </w:p>
    <w:tbl>
      <w:tblPr>
        <w:tblStyle w:val="5"/>
        <w:tblpPr w:leftFromText="180" w:rightFromText="180" w:vertAnchor="text" w:horzAnchor="page" w:tblpX="1271" w:tblpY="113"/>
        <w:tblOverlap w:val="never"/>
        <w:tblW w:w="9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200"/>
        <w:gridCol w:w="1605"/>
        <w:gridCol w:w="1275"/>
        <w:gridCol w:w="335"/>
        <w:gridCol w:w="1376"/>
        <w:gridCol w:w="434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发票抬头</w:t>
            </w:r>
            <w:r>
              <w:rPr>
                <w:rFonts w:hint="eastAsia" w:ascii="宋体" w:hAnsi="宋体"/>
                <w:bCs/>
                <w:color w:val="FF0000"/>
                <w:sz w:val="24"/>
              </w:rPr>
              <w:t>*</w:t>
            </w:r>
          </w:p>
        </w:tc>
        <w:tc>
          <w:tcPr>
            <w:tcW w:w="4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税    号</w:t>
            </w:r>
            <w:r>
              <w:rPr>
                <w:rFonts w:hint="eastAsia" w:ascii="宋体" w:hAnsi="宋体"/>
                <w:bCs/>
                <w:color w:val="FF0000"/>
                <w:sz w:val="24"/>
              </w:rPr>
              <w:t>*</w:t>
            </w:r>
          </w:p>
        </w:tc>
        <w:tc>
          <w:tcPr>
            <w:tcW w:w="4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QQ/邮箱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地址电话</w:t>
            </w:r>
            <w:r>
              <w:rPr>
                <w:rFonts w:hint="eastAsia" w:ascii="宋体" w:hAnsi="宋体"/>
                <w:bCs/>
                <w:color w:val="FF0000"/>
                <w:sz w:val="24"/>
              </w:rPr>
              <w:t>*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开户行、账号</w:t>
            </w:r>
            <w:r>
              <w:rPr>
                <w:rFonts w:hint="eastAsia" w:ascii="宋体" w:hAnsi="宋体"/>
                <w:bCs/>
                <w:color w:val="FF0000"/>
                <w:sz w:val="24"/>
              </w:rPr>
              <w:t>*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开票类型</w:t>
            </w:r>
            <w:r>
              <w:rPr>
                <w:rFonts w:hint="eastAsia" w:ascii="宋体" w:hAnsi="宋体"/>
                <w:bCs/>
                <w:color w:val="FF0000"/>
                <w:sz w:val="24"/>
              </w:rPr>
              <w:t>*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开票项目：培训费</w:t>
            </w:r>
          </w:p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增值税普通发票 [   ]        增值税专用发票 [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参会代表名单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  <w:r>
              <w:rPr>
                <w:rFonts w:hint="eastAsia" w:ascii="宋体" w:hAnsi="宋体"/>
                <w:bCs/>
                <w:color w:val="FF0000"/>
                <w:sz w:val="24"/>
              </w:rPr>
              <w:t>*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  <w:r>
              <w:rPr>
                <w:rFonts w:hint="eastAsia" w:ascii="宋体" w:hAnsi="宋体"/>
                <w:bCs/>
                <w:color w:val="FF0000"/>
                <w:sz w:val="24"/>
              </w:rPr>
              <w:t>*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移动电话</w:t>
            </w:r>
            <w:r>
              <w:rPr>
                <w:rFonts w:hint="eastAsia" w:ascii="宋体" w:hAnsi="宋体"/>
                <w:bCs/>
                <w:color w:val="FF0000"/>
                <w:sz w:val="24"/>
              </w:rPr>
              <w:t>*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QQ号码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住宿安排</w:t>
            </w:r>
            <w:r>
              <w:rPr>
                <w:rFonts w:hint="eastAsia" w:ascii="宋体" w:hAnsi="宋体"/>
                <w:bCs/>
                <w:color w:val="FF0000"/>
                <w:sz w:val="24"/>
              </w:rPr>
              <w:t>*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标准间[   ]        单人间[   ]        否[   ]</w:t>
            </w:r>
          </w:p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入住时间：    月    日至    月    日，共   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组委会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仿宋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pacing w:val="4"/>
                <w:kern w:val="0"/>
                <w:sz w:val="24"/>
                <w:szCs w:val="24"/>
              </w:rPr>
              <w:t>联系人：李艳 13331177930</w:t>
            </w:r>
          </w:p>
          <w:p>
            <w:pPr>
              <w:spacing w:line="360" w:lineRule="auto"/>
              <w:rPr>
                <w:rFonts w:hint="default" w:ascii="宋体" w:hAnsi="宋体" w:cs="仿宋" w:eastAsiaTheme="minorEastAsia"/>
                <w:color w:val="000000"/>
                <w:spacing w:val="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color w:val="000000"/>
                <w:spacing w:val="4"/>
                <w:kern w:val="0"/>
                <w:sz w:val="24"/>
                <w:szCs w:val="24"/>
                <w:lang w:val="en-US" w:eastAsia="zh-CN"/>
              </w:rPr>
              <w:t xml:space="preserve">        董雪松</w:t>
            </w:r>
            <w:bookmarkStart w:id="0" w:name="_GoBack"/>
            <w:bookmarkEnd w:id="0"/>
            <w:r>
              <w:rPr>
                <w:rFonts w:hint="eastAsia" w:ascii="宋体" w:hAnsi="宋体" w:cs="仿宋"/>
                <w:color w:val="000000"/>
                <w:spacing w:val="4"/>
                <w:kern w:val="0"/>
                <w:sz w:val="24"/>
                <w:szCs w:val="24"/>
                <w:lang w:val="en-US" w:eastAsia="zh-CN"/>
              </w:rPr>
              <w:t>13505180632</w:t>
            </w:r>
          </w:p>
          <w:p>
            <w:pPr>
              <w:spacing w:line="360" w:lineRule="auto"/>
              <w:rPr>
                <w:rFonts w:ascii="宋体" w:hAnsi="宋体" w:cs="仿宋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color w:val="000000"/>
                <w:spacing w:val="4"/>
                <w:kern w:val="0"/>
                <w:sz w:val="24"/>
                <w:szCs w:val="24"/>
              </w:rPr>
              <w:t>电子邮箱：</w:t>
            </w:r>
            <w:r>
              <w:fldChar w:fldCharType="begin"/>
            </w:r>
            <w:r>
              <w:instrText xml:space="preserve"> HYPERLINK "mailto:cnptpc@163.com" </w:instrText>
            </w:r>
            <w:r>
              <w:fldChar w:fldCharType="separate"/>
            </w:r>
            <w:r>
              <w:rPr>
                <w:rFonts w:hint="eastAsia" w:ascii="宋体" w:hAnsi="宋体" w:cs="仿宋"/>
                <w:color w:val="000000"/>
                <w:spacing w:val="4"/>
                <w:kern w:val="0"/>
                <w:sz w:val="24"/>
                <w:szCs w:val="24"/>
              </w:rPr>
              <w:t>2850627563@qq.com</w:t>
            </w:r>
            <w:r>
              <w:rPr>
                <w:rFonts w:hint="eastAsia" w:ascii="宋体" w:hAnsi="宋体" w:cs="仿宋"/>
                <w:color w:val="000000"/>
                <w:spacing w:val="4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汇款信息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after="50" w:line="360" w:lineRule="auto"/>
              <w:rPr>
                <w:rFonts w:hAnsi="宋体" w:eastAsiaTheme="minorEastAsia"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Theme="minorEastAsia"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收款单位：中国药科大学</w:t>
            </w:r>
          </w:p>
          <w:p>
            <w:pPr>
              <w:pStyle w:val="12"/>
              <w:spacing w:after="50" w:line="360" w:lineRule="auto"/>
              <w:rPr>
                <w:rFonts w:hAnsi="宋体" w:eastAsiaTheme="minorEastAsia"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Theme="minorEastAsia"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开户银行：南京工行湖南路支行</w:t>
            </w:r>
          </w:p>
          <w:p>
            <w:pPr>
              <w:spacing w:line="360" w:lineRule="auto"/>
              <w:rPr>
                <w:rFonts w:hAnsi="宋体"/>
                <w:bCs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银行账号：4301011019001029831</w:t>
            </w:r>
          </w:p>
          <w:p>
            <w:pPr>
              <w:spacing w:line="360" w:lineRule="auto"/>
              <w:rPr>
                <w:rFonts w:hAnsi="宋体"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转账备注：</w:t>
            </w:r>
            <w:r>
              <w:rPr>
                <w:rFonts w:hint="eastAsia" w:hAnsi="宋体"/>
                <w:b/>
                <w:color w:val="FF0000"/>
                <w:spacing w:val="4"/>
                <w:sz w:val="24"/>
                <w:szCs w:val="24"/>
              </w:rPr>
              <w:t>QA管理研修班</w:t>
            </w:r>
          </w:p>
        </w:tc>
      </w:tr>
    </w:tbl>
    <w:p>
      <w:pPr>
        <w:adjustRightInd w:val="0"/>
        <w:snapToGrid w:val="0"/>
        <w:spacing w:before="156" w:beforeLines="50" w:after="156" w:afterLines="50"/>
        <w:rPr>
          <w:rFonts w:ascii="仿宋" w:hAnsi="仿宋" w:eastAsia="仿宋"/>
          <w:sz w:val="28"/>
          <w:szCs w:val="28"/>
        </w:rPr>
      </w:pPr>
    </w:p>
    <w:p/>
    <w:sectPr>
      <w:headerReference r:id="rId4" w:type="first"/>
      <w:headerReference r:id="rId3" w:type="default"/>
      <w:pgSz w:w="11906" w:h="16838"/>
      <w:pgMar w:top="1440" w:right="1370" w:bottom="1440" w:left="1496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inline distT="0" distB="0" distL="0" distR="0">
          <wp:extent cx="5838825" cy="590550"/>
          <wp:effectExtent l="19050" t="0" r="9525" b="0"/>
          <wp:docPr id="1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2935" cy="59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17F"/>
    <w:multiLevelType w:val="multilevel"/>
    <w:tmpl w:val="0F10117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77E4326"/>
    <w:multiLevelType w:val="singleLevel"/>
    <w:tmpl w:val="777E432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BC"/>
    <w:rsid w:val="001B6B22"/>
    <w:rsid w:val="0022497F"/>
    <w:rsid w:val="00353614"/>
    <w:rsid w:val="00381F0B"/>
    <w:rsid w:val="0038776A"/>
    <w:rsid w:val="003A5D5F"/>
    <w:rsid w:val="00463E69"/>
    <w:rsid w:val="0046761F"/>
    <w:rsid w:val="0049516A"/>
    <w:rsid w:val="00567846"/>
    <w:rsid w:val="0057221F"/>
    <w:rsid w:val="005E3F1B"/>
    <w:rsid w:val="005F4843"/>
    <w:rsid w:val="00642E8D"/>
    <w:rsid w:val="006B4BDF"/>
    <w:rsid w:val="006C6E54"/>
    <w:rsid w:val="00702209"/>
    <w:rsid w:val="00715C39"/>
    <w:rsid w:val="00724BC1"/>
    <w:rsid w:val="00770838"/>
    <w:rsid w:val="007F1617"/>
    <w:rsid w:val="008300AE"/>
    <w:rsid w:val="009006FE"/>
    <w:rsid w:val="00904C61"/>
    <w:rsid w:val="00952094"/>
    <w:rsid w:val="00966296"/>
    <w:rsid w:val="009A12EB"/>
    <w:rsid w:val="009B26BE"/>
    <w:rsid w:val="009B4A9F"/>
    <w:rsid w:val="009D6766"/>
    <w:rsid w:val="00AC29F2"/>
    <w:rsid w:val="00AC44AA"/>
    <w:rsid w:val="00AD5CB3"/>
    <w:rsid w:val="00AE27EC"/>
    <w:rsid w:val="00B7048E"/>
    <w:rsid w:val="00BA14BD"/>
    <w:rsid w:val="00BA3A2D"/>
    <w:rsid w:val="00C1164F"/>
    <w:rsid w:val="00C7754A"/>
    <w:rsid w:val="00CA4375"/>
    <w:rsid w:val="00CE7994"/>
    <w:rsid w:val="00D46B93"/>
    <w:rsid w:val="00D521EC"/>
    <w:rsid w:val="00DE4EC9"/>
    <w:rsid w:val="00F31F66"/>
    <w:rsid w:val="00F712C1"/>
    <w:rsid w:val="00FA73BC"/>
    <w:rsid w:val="0132139C"/>
    <w:rsid w:val="042440A1"/>
    <w:rsid w:val="04320B84"/>
    <w:rsid w:val="04836117"/>
    <w:rsid w:val="04886910"/>
    <w:rsid w:val="05D21E5A"/>
    <w:rsid w:val="111B078F"/>
    <w:rsid w:val="11A44493"/>
    <w:rsid w:val="126D45A5"/>
    <w:rsid w:val="139A67E4"/>
    <w:rsid w:val="16D3137E"/>
    <w:rsid w:val="17F231BC"/>
    <w:rsid w:val="1836114E"/>
    <w:rsid w:val="18BE7D0E"/>
    <w:rsid w:val="1C194243"/>
    <w:rsid w:val="1DD64D19"/>
    <w:rsid w:val="1E384D5A"/>
    <w:rsid w:val="25C60B5F"/>
    <w:rsid w:val="29D7289A"/>
    <w:rsid w:val="2F5E15DA"/>
    <w:rsid w:val="3476452C"/>
    <w:rsid w:val="37731AB3"/>
    <w:rsid w:val="391B1526"/>
    <w:rsid w:val="41065B88"/>
    <w:rsid w:val="41C3591F"/>
    <w:rsid w:val="42131294"/>
    <w:rsid w:val="44283852"/>
    <w:rsid w:val="490A7C68"/>
    <w:rsid w:val="4A853CFB"/>
    <w:rsid w:val="4D5B6E28"/>
    <w:rsid w:val="4D9F6B93"/>
    <w:rsid w:val="50FB5E27"/>
    <w:rsid w:val="52F81370"/>
    <w:rsid w:val="53BD0672"/>
    <w:rsid w:val="55351FC9"/>
    <w:rsid w:val="578422CF"/>
    <w:rsid w:val="59F152D4"/>
    <w:rsid w:val="5B0B1560"/>
    <w:rsid w:val="5BA73FD7"/>
    <w:rsid w:val="5F035592"/>
    <w:rsid w:val="5FD23E68"/>
    <w:rsid w:val="601D6F17"/>
    <w:rsid w:val="66EA7D37"/>
    <w:rsid w:val="691433F0"/>
    <w:rsid w:val="6AD05909"/>
    <w:rsid w:val="708D1FCA"/>
    <w:rsid w:val="71191869"/>
    <w:rsid w:val="74C24D45"/>
    <w:rsid w:val="77193B9A"/>
    <w:rsid w:val="79F01255"/>
    <w:rsid w:val="79FB3044"/>
    <w:rsid w:val="7CAA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A0AA47-38A2-45CF-AE9C-6CE5298081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352</Words>
  <Characters>2013</Characters>
  <Lines>16</Lines>
  <Paragraphs>4</Paragraphs>
  <TotalTime>1</TotalTime>
  <ScaleCrop>false</ScaleCrop>
  <LinksUpToDate>false</LinksUpToDate>
  <CharactersWithSpaces>2361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2021-03-04T02:30:00Z</dcterms:created>
  <dc:creator>xb21cn</dc:creator>
  <cp:lastModifiedBy>發 條 兔 子</cp:lastModifiedBy>
  <cp:lastPrinted>2021-03-09T07:00:00Z</cp:lastPrinted>
  <dcterms:modified xsi:type="dcterms:W3CDTF">2021-03-09T07:08:40Z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